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2DD08" w14:textId="156C3631" w:rsidR="006F3BB5" w:rsidRDefault="008B52C6" w:rsidP="009B7E48">
      <w:pPr>
        <w:pStyle w:val="Heading1"/>
        <w:spacing w:before="86"/>
        <w:ind w:left="1790"/>
        <w:rPr>
          <w:sz w:val="14"/>
          <w:szCs w:val="14"/>
        </w:rPr>
      </w:pPr>
      <w:r>
        <w:t>PRINCIPES D</w:t>
      </w:r>
      <w:bookmarkStart w:id="0" w:name="_GoBack"/>
      <w:bookmarkEnd w:id="0"/>
      <w:r>
        <w:t>IRECTEURS DE LA GESTION DE CAS</w:t>
      </w:r>
      <w:r w:rsidR="009B7E48" w:rsidRPr="22387E79">
        <w:rPr>
          <w:position w:val="10"/>
          <w:sz w:val="14"/>
          <w:szCs w:val="14"/>
        </w:rPr>
        <w:t>1</w:t>
      </w:r>
    </w:p>
    <w:p w14:paraId="3D886211" w14:textId="77777777" w:rsidR="006F3BB5" w:rsidRDefault="22387E79" w:rsidP="22387E79">
      <w:pPr>
        <w:spacing w:before="241"/>
        <w:ind w:left="100"/>
        <w:rPr>
          <w:b/>
          <w:bCs/>
          <w:sz w:val="24"/>
          <w:szCs w:val="24"/>
        </w:rPr>
      </w:pPr>
      <w:r>
        <w:rPr>
          <w:b/>
          <w:bCs/>
          <w:sz w:val="24"/>
          <w:szCs w:val="24"/>
        </w:rPr>
        <w:t>NE PAS NUIRE</w:t>
      </w:r>
    </w:p>
    <w:p w14:paraId="672A6659" w14:textId="77777777" w:rsidR="006F3BB5" w:rsidRDefault="006F3BB5">
      <w:pPr>
        <w:pStyle w:val="BodyText"/>
        <w:spacing w:before="4"/>
        <w:rPr>
          <w:b/>
          <w:sz w:val="12"/>
        </w:rPr>
      </w:pPr>
    </w:p>
    <w:p w14:paraId="1690C019" w14:textId="77777777" w:rsidR="006F3BB5" w:rsidRDefault="22387E79" w:rsidP="009B7E48">
      <w:pPr>
        <w:pStyle w:val="BodyText"/>
        <w:spacing w:before="100" w:line="250" w:lineRule="exact"/>
        <w:ind w:left="102" w:right="275"/>
      </w:pPr>
      <w:r>
        <w:t>Il s’agit de s’assurer que les actions et les interventions destinées à aider l’enfant (et sa famille) n’exposent pas ces derniers à d’autres dangers. Au cours de chaque étape du processus de gestion de cas, des précautions particulières doivent être prises pour s’assurer que les enfants ou leurs familles ne soient exposés à aucun danger à cause du comportement du travailleur social, ni à l’issue des décisions prises ou des actions entreprises par ce dernier au nom de l’enfant et de sa famille.</w:t>
      </w:r>
    </w:p>
    <w:p w14:paraId="5E282E7C" w14:textId="7A91E872" w:rsidR="006F3BB5" w:rsidRDefault="22387E79" w:rsidP="00F0164E">
      <w:pPr>
        <w:pStyle w:val="BodyText"/>
        <w:spacing w:line="250" w:lineRule="exact"/>
        <w:ind w:left="102" w:right="124"/>
      </w:pPr>
      <w:r>
        <w:t xml:space="preserve">Des précautions doivent être prises pour s’assurer qu’aucun tort ne soit fait aux enfants ou à leurs familles suite à la collecte, à la conservation ou au partage de leurs informations personnelles. Par exemple, il faut veiller à ne pas créer des conflits entre les individus, les familles ou les communautés, et à prévenir la collecte d’informations superflues qui </w:t>
      </w:r>
      <w:r w:rsidR="00F0164E">
        <w:br/>
      </w:r>
      <w:r>
        <w:t>peuvent exposer l’enfant ou la famille à des risques de violence si elle</w:t>
      </w:r>
      <w:r w:rsidR="00BA02F0">
        <w:t>s</w:t>
      </w:r>
      <w:r>
        <w:t xml:space="preserve"> tomberaient dans de mauvaises mains. Si l’on ne procède pas avec diligence, l’enfant et sa famille pourraient subir d’autres torts tels que des actes de vengeance ou de violence.</w:t>
      </w:r>
    </w:p>
    <w:p w14:paraId="0A37501D" w14:textId="77777777" w:rsidR="006F3BB5" w:rsidRDefault="006F3BB5" w:rsidP="009B7E48">
      <w:pPr>
        <w:pStyle w:val="BodyText"/>
        <w:spacing w:before="4" w:line="200" w:lineRule="exact"/>
        <w:rPr>
          <w:sz w:val="21"/>
        </w:rPr>
      </w:pPr>
    </w:p>
    <w:p w14:paraId="08240757" w14:textId="77777777" w:rsidR="006F3BB5" w:rsidRPr="009B7E48" w:rsidRDefault="22387E79">
      <w:pPr>
        <w:pStyle w:val="Heading1"/>
      </w:pPr>
      <w:r w:rsidRPr="009B7E48">
        <w:t>DONNER LA PRIORITÉ AU PRINCIPE DE L’INTÉRÊT SUPÉRIEUR DE L’ENFANT</w:t>
      </w:r>
    </w:p>
    <w:p w14:paraId="5DAB6C7B" w14:textId="77777777" w:rsidR="006F3BB5" w:rsidRDefault="006F3BB5" w:rsidP="009B7E48">
      <w:pPr>
        <w:pStyle w:val="BodyText"/>
        <w:spacing w:before="5" w:line="200" w:lineRule="exact"/>
        <w:rPr>
          <w:b/>
          <w:sz w:val="21"/>
        </w:rPr>
      </w:pPr>
    </w:p>
    <w:p w14:paraId="475290FE" w14:textId="77777777" w:rsidR="006F3BB5" w:rsidRDefault="22387E79" w:rsidP="009B7E48">
      <w:pPr>
        <w:pStyle w:val="BodyText"/>
        <w:spacing w:line="250" w:lineRule="exact"/>
        <w:ind w:left="100" w:right="124"/>
      </w:pPr>
      <w:r>
        <w:t xml:space="preserve">Le principe de « l’intérêt supérieur de l’enfant » englobe la sécurité physique et émotionnelle d’un enfant (son bien-être) ainsi que son droit au développement. Conformément à l’Article 3 de la Convention des Nations Unies relative aux droits de l’enfant (CDE), les intérêts supérieurs de l’enfant doivent fournir </w:t>
      </w:r>
      <w:r>
        <w:rPr>
          <w:i/>
          <w:iCs/>
        </w:rPr>
        <w:t>la base de toutes les décisions prises et de toutes les actions entreprises</w:t>
      </w:r>
      <w:r>
        <w:t xml:space="preserve">, ainsi que </w:t>
      </w:r>
      <w:r>
        <w:rPr>
          <w:i/>
          <w:iCs/>
        </w:rPr>
        <w:t>la manière dont les prestataires interagissent avec les enfants et leurs familles</w:t>
      </w:r>
      <w:r>
        <w:t>. Les travailleurs sociaux et leurs superviseurs doivent constamment évaluer les risques et les ressources liés à l’enfant et à son environnement, les conséquences positives et négatives des actions, et également en discuter avec les enfants et les personnes qui les prennent en charge. Le plan d’action le moins contraignant est le meilleur.</w:t>
      </w:r>
    </w:p>
    <w:p w14:paraId="02EB378F" w14:textId="77777777" w:rsidR="006F3BB5" w:rsidRDefault="006F3BB5" w:rsidP="009B7E48">
      <w:pPr>
        <w:pStyle w:val="BodyText"/>
        <w:spacing w:before="4" w:line="200" w:lineRule="exact"/>
        <w:rPr>
          <w:sz w:val="21"/>
        </w:rPr>
      </w:pPr>
    </w:p>
    <w:p w14:paraId="401A1DCF" w14:textId="77777777" w:rsidR="006F3BB5" w:rsidRDefault="22387E79" w:rsidP="009B7E48">
      <w:pPr>
        <w:pStyle w:val="BodyText"/>
        <w:spacing w:line="250" w:lineRule="exact"/>
        <w:ind w:left="100" w:right="626"/>
      </w:pPr>
      <w:r>
        <w:t>Toutes les actions doivent garantir le respect des droits de l’enfant à la sécurité et au développement continu.</w:t>
      </w:r>
    </w:p>
    <w:p w14:paraId="6A05A809" w14:textId="77777777" w:rsidR="006F3BB5" w:rsidRDefault="006F3BB5" w:rsidP="009B7E48">
      <w:pPr>
        <w:pStyle w:val="BodyText"/>
        <w:spacing w:before="4" w:line="200" w:lineRule="exact"/>
        <w:rPr>
          <w:sz w:val="21"/>
        </w:rPr>
      </w:pPr>
    </w:p>
    <w:p w14:paraId="21B8C6ED" w14:textId="45858A98" w:rsidR="006F3BB5" w:rsidRPr="009B7E48" w:rsidRDefault="22387E79" w:rsidP="009B7E48">
      <w:pPr>
        <w:pStyle w:val="BodyText"/>
        <w:spacing w:line="250" w:lineRule="exact"/>
        <w:ind w:left="100" w:right="610"/>
        <w:rPr>
          <w:spacing w:val="-2"/>
        </w:rPr>
      </w:pPr>
      <w:r w:rsidRPr="009B7E48">
        <w:rPr>
          <w:spacing w:val="-2"/>
        </w:rPr>
        <w:t>Le principe de l’intérêt supérieur de l’enfant doit guider toutes les décisions prises durant le processus de gestion de cas. Souvent, dans le cadre de la protection de l’enfance, il n’existe pas de solution « idéale » unique, mais plutôt une série de choix plus ou moins acceptables qui doivent être en équilibre avec l’intérêt supérieur de l’enfant.</w:t>
      </w:r>
    </w:p>
    <w:p w14:paraId="5A39BBE3" w14:textId="77777777" w:rsidR="006F3BB5" w:rsidRDefault="006F3BB5" w:rsidP="009B7E48">
      <w:pPr>
        <w:pStyle w:val="BodyText"/>
        <w:spacing w:before="2" w:line="200" w:lineRule="exact"/>
        <w:rPr>
          <w:sz w:val="21"/>
        </w:rPr>
      </w:pPr>
    </w:p>
    <w:p w14:paraId="40BA26F8" w14:textId="77777777" w:rsidR="006F3BB5" w:rsidRDefault="22387E79">
      <w:pPr>
        <w:pStyle w:val="Heading1"/>
        <w:spacing w:before="1"/>
      </w:pPr>
      <w:r>
        <w:t>LE PRINCIPE DE NON-DISCRIMINATION</w:t>
      </w:r>
    </w:p>
    <w:p w14:paraId="41C8F396" w14:textId="77777777" w:rsidR="006F3BB5" w:rsidRDefault="006F3BB5" w:rsidP="009B7E48">
      <w:pPr>
        <w:pStyle w:val="BodyText"/>
        <w:spacing w:before="5" w:line="200" w:lineRule="exact"/>
        <w:rPr>
          <w:b/>
          <w:sz w:val="21"/>
        </w:rPr>
      </w:pPr>
    </w:p>
    <w:p w14:paraId="5A3A3AD9" w14:textId="3A75643F" w:rsidR="006F3BB5" w:rsidRPr="009B7E48" w:rsidRDefault="22387E79" w:rsidP="00F0164E">
      <w:pPr>
        <w:pStyle w:val="BodyText"/>
        <w:spacing w:line="250" w:lineRule="exact"/>
        <w:ind w:left="100" w:right="156"/>
        <w:rPr>
          <w:spacing w:val="-2"/>
        </w:rPr>
      </w:pPr>
      <w:r w:rsidRPr="009B7E48">
        <w:rPr>
          <w:spacing w:val="-2"/>
        </w:rPr>
        <w:t>S’engager à la non-discrimination signifie s’assurer que les enfants ne soient pas discriminés (aide insuffisante ou des services r</w:t>
      </w:r>
      <w:r w:rsidR="00BA02F0">
        <w:rPr>
          <w:spacing w:val="-2"/>
        </w:rPr>
        <w:t>e</w:t>
      </w:r>
      <w:r w:rsidRPr="009B7E48">
        <w:rPr>
          <w:spacing w:val="-2"/>
        </w:rPr>
        <w:t>fusés) à cause de leurs caractéristiques personnelles ou du groupe auquel ils appartiennent (par exemple : le genre, l’âge, la situation socioéconomique, la race, la religion, l’ethnie, le handicap, l’orientation sexuelle ou l’identité du genre).</w:t>
      </w:r>
    </w:p>
    <w:p w14:paraId="72A3D3EC" w14:textId="77777777" w:rsidR="006F3BB5" w:rsidRDefault="006F3BB5" w:rsidP="009B7E48">
      <w:pPr>
        <w:pStyle w:val="BodyText"/>
        <w:spacing w:before="4" w:line="200" w:lineRule="exact"/>
        <w:rPr>
          <w:sz w:val="21"/>
        </w:rPr>
      </w:pPr>
    </w:p>
    <w:p w14:paraId="63F1811D" w14:textId="77777777" w:rsidR="006F3BB5" w:rsidRDefault="22387E79" w:rsidP="009B7E48">
      <w:pPr>
        <w:pStyle w:val="BodyText"/>
        <w:spacing w:line="250" w:lineRule="exact"/>
        <w:ind w:left="100" w:right="216"/>
      </w:pPr>
      <w:r>
        <w:t>Les enfants ayant besoin de services de protection doivent recevoir l’assistance d’organisations et de travailleurs sociaux formés et qualifiés pour développer des relations non discriminatoires, fondées sur le respect, et pour traiter les enfants avec compassion, empathie et soin. Le personnel en charge de la gestion des cas est tenu de ne pas porter de jugements de valeur et d’éviter les propos négatifs/critiques dans l’exercice de leur fonction. Qu’ils soient engagés dans des campagnes de sensibilisation ou dans des activités de lutte ou de prévention, les organisations et les travailleurs sociaux doivent s’opposer à la discrimination, ainsi qu’aux politiques et pratiques qui la soutiennent.</w:t>
      </w:r>
    </w:p>
    <w:p w14:paraId="0D0B940D" w14:textId="77777777" w:rsidR="006F3BB5" w:rsidRDefault="00947452">
      <w:pPr>
        <w:pStyle w:val="BodyText"/>
        <w:spacing w:before="4"/>
        <w:rPr>
          <w:sz w:val="18"/>
        </w:rPr>
      </w:pPr>
      <w:r>
        <w:pict w14:anchorId="067AE7C7">
          <v:line id="_x0000_s1026" style="position:absolute;z-index:251657728;mso-wrap-distance-left:0;mso-wrap-distance-right:0;mso-position-horizontal-relative:page" from="90pt,12.6pt" to="234.05pt,12.6pt" strokeweight=".21169mm">
            <w10:wrap type="topAndBottom" anchorx="page"/>
          </v:line>
        </w:pict>
      </w:r>
    </w:p>
    <w:p w14:paraId="31741558" w14:textId="77777777" w:rsidR="006F3BB5" w:rsidRDefault="008B52C6" w:rsidP="22387E79">
      <w:pPr>
        <w:spacing w:before="72"/>
        <w:ind w:left="100"/>
        <w:rPr>
          <w:sz w:val="20"/>
          <w:szCs w:val="20"/>
        </w:rPr>
      </w:pPr>
      <w:r>
        <w:rPr>
          <w:sz w:val="13"/>
          <w:szCs w:val="13"/>
        </w:rPr>
        <w:t xml:space="preserve">1 </w:t>
      </w:r>
      <w:r>
        <w:rPr>
          <w:sz w:val="20"/>
          <w:szCs w:val="20"/>
        </w:rPr>
        <w:t xml:space="preserve">Source : Groupe de travail sur la protection de l’enfance, </w:t>
      </w:r>
      <w:r>
        <w:rPr>
          <w:i/>
          <w:iCs/>
          <w:sz w:val="20"/>
          <w:szCs w:val="20"/>
        </w:rPr>
        <w:t>Directives inter-agences relatives à la gestion de cas et la protection de l’enfance</w:t>
      </w:r>
      <w:r>
        <w:rPr>
          <w:sz w:val="20"/>
          <w:szCs w:val="20"/>
        </w:rPr>
        <w:t>, janvier 2014, p 16-22.</w:t>
      </w:r>
    </w:p>
    <w:p w14:paraId="0E27B00A" w14:textId="77777777" w:rsidR="006F3BB5" w:rsidRDefault="006F3BB5">
      <w:pPr>
        <w:rPr>
          <w:sz w:val="20"/>
        </w:rPr>
        <w:sectPr w:rsidR="006F3BB5">
          <w:type w:val="continuous"/>
          <w:pgSz w:w="12240" w:h="15840"/>
          <w:pgMar w:top="1340" w:right="1700" w:bottom="280" w:left="1700" w:header="720" w:footer="720" w:gutter="0"/>
          <w:cols w:space="720"/>
        </w:sectPr>
      </w:pPr>
    </w:p>
    <w:p w14:paraId="1566DA14" w14:textId="77777777" w:rsidR="006F3BB5" w:rsidRDefault="22387E79">
      <w:pPr>
        <w:pStyle w:val="Heading1"/>
        <w:spacing w:before="1"/>
      </w:pPr>
      <w:r>
        <w:lastRenderedPageBreak/>
        <w:t>ADHÉSION AUX NORMES ÉTHIQUES</w:t>
      </w:r>
    </w:p>
    <w:p w14:paraId="44EAFD9C" w14:textId="77777777" w:rsidR="006F3BB5" w:rsidRDefault="006F3BB5">
      <w:pPr>
        <w:pStyle w:val="BodyText"/>
        <w:spacing w:before="2"/>
        <w:rPr>
          <w:b/>
          <w:sz w:val="21"/>
        </w:rPr>
      </w:pPr>
    </w:p>
    <w:p w14:paraId="76AABCA6" w14:textId="77777777" w:rsidR="006F3BB5" w:rsidRPr="009B7E48" w:rsidRDefault="22387E79">
      <w:pPr>
        <w:pStyle w:val="BodyText"/>
        <w:ind w:left="100" w:right="96"/>
        <w:rPr>
          <w:spacing w:val="-2"/>
        </w:rPr>
      </w:pPr>
      <w:r w:rsidRPr="009B7E48">
        <w:rPr>
          <w:spacing w:val="-2"/>
        </w:rPr>
        <w:t>Il est essentiel d’élaborer des normes et des pratiques éthiques à l’intention des organisations et du personnel en charge des enfants, et de les mettre en application. Il peut s’agir de codes de conduite professionnelle et de politiques de protection de l’enfance. Des lois et des politiques nationales peuvent s’ajouter aux normes internationales afin de protéger les enfants ; elles doivent être prises en considération et respectées. Adhérer aux normes d’éthique implique le respect des directives de ce document. Ces directives sont essentielles afin de garantir la qualité et le professionnalisme de la prise en charge et de la protection de l’enfant.</w:t>
      </w:r>
    </w:p>
    <w:p w14:paraId="4B94D5A5" w14:textId="77777777" w:rsidR="006F3BB5" w:rsidRDefault="006F3BB5">
      <w:pPr>
        <w:pStyle w:val="BodyText"/>
        <w:spacing w:before="6"/>
        <w:rPr>
          <w:sz w:val="21"/>
        </w:rPr>
      </w:pPr>
    </w:p>
    <w:p w14:paraId="665CB059" w14:textId="77777777" w:rsidR="006F3BB5" w:rsidRDefault="22387E79">
      <w:pPr>
        <w:pStyle w:val="Heading1"/>
      </w:pPr>
      <w:r>
        <w:t>RECHERCHER LE CONSENTEMENT ET/OU L’ACCORD ÉCLAIRÉ</w:t>
      </w:r>
    </w:p>
    <w:p w14:paraId="3DEEC669" w14:textId="77777777" w:rsidR="006F3BB5" w:rsidRDefault="006F3BB5">
      <w:pPr>
        <w:pStyle w:val="BodyText"/>
        <w:spacing w:before="2"/>
        <w:rPr>
          <w:b/>
          <w:sz w:val="21"/>
        </w:rPr>
      </w:pPr>
    </w:p>
    <w:p w14:paraId="43E21AA6" w14:textId="77777777" w:rsidR="006F3BB5" w:rsidRDefault="008B52C6">
      <w:pPr>
        <w:pStyle w:val="BodyText"/>
        <w:ind w:left="100" w:right="122"/>
      </w:pPr>
      <w:r>
        <w:t>Le consentement éclairé est l’accord volontaire d’un individu en capacité de donner un consentement, et qui exerce un choix libre et éclairé. Dans toutes les circonstances, il faut obtenir le consentement des enfants et de leurs familles ou des personnes ayant leur charge avant de fournir des services. Afin de garantir le consentement éclairé, les travailleurs sociaux doivent veiller à ce que les enfants et leurs familles comprennent parfaitement : les services et les options disponibles (c’est-à-dire le processus de gestion de cas), les risques et les avantages potentiels liés à la réception des services, les informations qui seront recueillies et la façon dont elles seront utilisées, ainsi que la notion de confidentialité et ses limites. Les travailleurs sociaux sont tenus de communiquer de façon amicale et adapté à l’enfant et doivent encourager les enfants et leurs familles à poser des questions qui les aideront à prendre une décision concernant leur propre situation. (Voir à l’annexe 14 un exemple de note d’orientation pour le consentement éclairé.)</w:t>
      </w:r>
    </w:p>
    <w:p w14:paraId="3656B9AB" w14:textId="77777777" w:rsidR="006F3BB5" w:rsidRDefault="006F3BB5">
      <w:pPr>
        <w:pStyle w:val="BodyText"/>
        <w:spacing w:before="4"/>
        <w:rPr>
          <w:sz w:val="21"/>
        </w:rPr>
      </w:pPr>
    </w:p>
    <w:p w14:paraId="1E674BE6" w14:textId="77777777" w:rsidR="006F3BB5" w:rsidRDefault="22387E79">
      <w:pPr>
        <w:pStyle w:val="BodyText"/>
        <w:ind w:left="100" w:right="127"/>
      </w:pPr>
      <w:r>
        <w:t>L’accord éclairé représente la volonté exprimée de participer aux services. Il nécessite les mêmes informations sur la communication adaptée aux enfants, qu’on vient de mentionner plus haut. Cependant, dans le cas des enfants plus jeunes qui sont de fait, ou selon la loi, trop jeunes pour donner un consentement éclairé, mais assez âgés pour comprendre et accepter de participer aux services, « l’accord éclairé » de l’enfant est recherché. Des efforts doivent être fournis même pour des enfants très jeunes (âgés de moins de 5 ans) afin de leur expliquer, en des termes appropriés à leur âge, les informations recherchées, leur usage et comment elles seront partagées.</w:t>
      </w:r>
    </w:p>
    <w:p w14:paraId="45FB0818" w14:textId="77777777" w:rsidR="006F3BB5" w:rsidRDefault="006F3BB5">
      <w:pPr>
        <w:pStyle w:val="BodyText"/>
        <w:spacing w:before="5"/>
        <w:rPr>
          <w:sz w:val="21"/>
        </w:rPr>
      </w:pPr>
    </w:p>
    <w:p w14:paraId="56F1F80A" w14:textId="4DF8F346" w:rsidR="006F3BB5" w:rsidRDefault="22387E79">
      <w:pPr>
        <w:pStyle w:val="BodyText"/>
        <w:ind w:left="100" w:right="123"/>
      </w:pPr>
      <w:r>
        <w:t xml:space="preserve">Dans certaines situations, le consentement éclairé peut être impossible ou peut être refusé. Toutefois, l’intervention peut toujours être nécessaire pour protéger l’enfant. Par exemple, </w:t>
      </w:r>
      <w:r w:rsidR="009B7E48">
        <w:br/>
      </w:r>
      <w:r>
        <w:t xml:space="preserve">si une fille de 12 ans souffre d’abus sexuels de la part de son père, la loyauté qu’elle ressent envers lui et sa famille peut l’amener à refuser de prendre une quelconque décision. </w:t>
      </w:r>
      <w:r w:rsidR="009B7E48">
        <w:br/>
      </w:r>
      <w:r>
        <w:t>Ce fait ne signifie pas que les organisations peuvent ignorer ce qui se passe. Lorsque le consentement n’est pas accordé et que les organisations concernées sont autorisées par la loi à agir en vue de protéger un enfant, il faut expliquer les raisons d’une telle action et encourager continuellement la participation des enfants et des familles.</w:t>
      </w:r>
    </w:p>
    <w:p w14:paraId="049F31CB" w14:textId="77777777" w:rsidR="006F3BB5" w:rsidRDefault="006F3BB5">
      <w:pPr>
        <w:pStyle w:val="BodyText"/>
        <w:spacing w:before="3"/>
        <w:rPr>
          <w:sz w:val="21"/>
        </w:rPr>
      </w:pPr>
    </w:p>
    <w:p w14:paraId="52F84034" w14:textId="77777777" w:rsidR="006F3BB5" w:rsidRDefault="22387E79">
      <w:pPr>
        <w:pStyle w:val="Heading1"/>
        <w:spacing w:before="1"/>
      </w:pPr>
      <w:r>
        <w:t>RESPECTER LA CONFIDENTIALITÉ</w:t>
      </w:r>
    </w:p>
    <w:p w14:paraId="53128261" w14:textId="77777777" w:rsidR="006F3BB5" w:rsidRDefault="006F3BB5">
      <w:pPr>
        <w:pStyle w:val="BodyText"/>
        <w:spacing w:before="4"/>
        <w:rPr>
          <w:b/>
          <w:sz w:val="21"/>
        </w:rPr>
      </w:pPr>
    </w:p>
    <w:p w14:paraId="155FE96E" w14:textId="2AE4A5B6" w:rsidR="006F3BB5" w:rsidRDefault="22387E79">
      <w:pPr>
        <w:pStyle w:val="BodyText"/>
        <w:ind w:left="100" w:right="111"/>
      </w:pPr>
      <w:r>
        <w:t>La confidentialité est liée au partage des informations selon le principe du besoin de savoir. La notion du « besoin de savoir » décrit le fait de limiter la collecte et le partage des informations considérées sensibles aux seules personnes à qui les informations permettront de protéger l’enfant. Toutes les informations sensibles et identifiantes ne doivent être partagées que sur la base du besoin de savoir avec le moins de personnes</w:t>
      </w:r>
      <w:r w:rsidR="009B7E48" w:rsidRPr="009B7E48">
        <w:t xml:space="preserve"> </w:t>
      </w:r>
      <w:r w:rsidR="009B7E48">
        <w:t>possible.</w:t>
      </w:r>
    </w:p>
    <w:p w14:paraId="62486C05" w14:textId="77777777" w:rsidR="006F3BB5" w:rsidRDefault="006F3BB5">
      <w:pPr>
        <w:sectPr w:rsidR="006F3BB5">
          <w:pgSz w:w="12240" w:h="15840"/>
          <w:pgMar w:top="1360" w:right="1700" w:bottom="280" w:left="1700" w:header="720" w:footer="720" w:gutter="0"/>
          <w:cols w:space="720"/>
        </w:sectPr>
      </w:pPr>
    </w:p>
    <w:p w14:paraId="1D8BC1C0" w14:textId="77777777" w:rsidR="006F3BB5" w:rsidRDefault="22387E79">
      <w:pPr>
        <w:pStyle w:val="BodyText"/>
        <w:spacing w:before="1"/>
        <w:ind w:left="100" w:right="186"/>
      </w:pPr>
      <w:r>
        <w:lastRenderedPageBreak/>
        <w:t>Les prestataires doivent donc protéger les informations collectées au sujet des clients et garantir qu’elles ne sont accessibles qu’avec l’autorisation explicite du client. Pour les organisations et les travailleurs sociaux impliqués dans la gestion de cas, ceci signifie collecter, conserver, partager et stocker les informations des différents cas de façon sécurisée et conformément aux politiques de protection des données convenues. Les travailleurs ne doivent révéler les noms des enfants ni aucune information d’identification à personne d’autre que celles impliquées directement dans la prise en charge de l’enfant. En d’autres termes, il s’agit de faire particulièrement attention à la sécurisation des fichiers et des documents de prise en charge et d’éviter des conversations informelles avec les collègues qui peuvent être naturellement curieux et intéressés par le travail.</w:t>
      </w:r>
    </w:p>
    <w:p w14:paraId="4B99056E" w14:textId="77777777" w:rsidR="006F3BB5" w:rsidRDefault="006F3BB5">
      <w:pPr>
        <w:pStyle w:val="BodyText"/>
        <w:spacing w:before="4"/>
        <w:rPr>
          <w:sz w:val="21"/>
        </w:rPr>
      </w:pPr>
    </w:p>
    <w:p w14:paraId="0F1B5EF1" w14:textId="77777777" w:rsidR="006F3BB5" w:rsidRDefault="22387E79">
      <w:pPr>
        <w:pStyle w:val="BodyText"/>
        <w:ind w:left="100" w:right="96"/>
      </w:pPr>
      <w:r>
        <w:t>Cependant, il est très important de souligner que la confidentialité est limitée lorsque les travailleurs sociaux identifient des problèmes de sécurité et ont besoin de l’intervention d’autres prestataires (exemple : personnel de santé) ou lorsque la loi exige de dénoncer des crimes. Ces contraintes doivent être expliquées aux enfants et aux parents durant le processus du consentement ou d’accord éclairé. Les superviseurs et les travailleurs sociaux doivent collaborer étroitement afin de prendre des décisions en présence de cas où la confidentialité doit être rompue.</w:t>
      </w:r>
    </w:p>
    <w:p w14:paraId="1299C43A" w14:textId="77777777" w:rsidR="006F3BB5" w:rsidRDefault="006F3BB5">
      <w:pPr>
        <w:pStyle w:val="BodyText"/>
        <w:spacing w:before="2"/>
        <w:rPr>
          <w:sz w:val="21"/>
        </w:rPr>
      </w:pPr>
    </w:p>
    <w:p w14:paraId="03888B82" w14:textId="77777777" w:rsidR="006F3BB5" w:rsidRDefault="22387E79">
      <w:pPr>
        <w:pStyle w:val="Heading1"/>
        <w:spacing w:before="1"/>
      </w:pPr>
      <w:r>
        <w:t>GARANTIR LA RESPONSABILISATION</w:t>
      </w:r>
    </w:p>
    <w:p w14:paraId="4DDBEF00" w14:textId="77777777" w:rsidR="006F3BB5" w:rsidRDefault="006F3BB5">
      <w:pPr>
        <w:pStyle w:val="BodyText"/>
        <w:spacing w:before="4"/>
        <w:rPr>
          <w:b/>
          <w:sz w:val="21"/>
        </w:rPr>
      </w:pPr>
    </w:p>
    <w:p w14:paraId="4514D148" w14:textId="77777777" w:rsidR="006F3BB5" w:rsidRDefault="22387E79">
      <w:pPr>
        <w:pStyle w:val="BodyText"/>
        <w:ind w:left="100"/>
      </w:pPr>
      <w:r>
        <w:t>La responsabilisation consiste à assumer ses actes et leurs conséquences. Elle s’applique aux organisations comme au personnel et s’exerce envers l’enfant, la famille et la communauté.</w:t>
      </w:r>
    </w:p>
    <w:p w14:paraId="3461D779" w14:textId="77777777" w:rsidR="006F3BB5" w:rsidRDefault="006F3BB5">
      <w:pPr>
        <w:pStyle w:val="BodyText"/>
        <w:spacing w:before="3"/>
        <w:rPr>
          <w:sz w:val="21"/>
        </w:rPr>
      </w:pPr>
    </w:p>
    <w:p w14:paraId="67830F64" w14:textId="7DDF8432" w:rsidR="006F3BB5" w:rsidRDefault="22387E79">
      <w:pPr>
        <w:pStyle w:val="BodyText"/>
        <w:ind w:left="100" w:right="311"/>
      </w:pPr>
      <w:r>
        <w:t>Les organisations et les personnes qui mettent en œuvre la gestion des cas sont tenues de respecter le cadre juridique et stratégique national. Elles doivent également appliquer des codes de conduite professionnels le cas échéant. En l’absence de cadre juridique, les principes directeurs et les standards de bonne</w:t>
      </w:r>
      <w:r w:rsidR="00BA02F0">
        <w:t>s</w:t>
      </w:r>
      <w:r>
        <w:t xml:space="preserve"> pratique</w:t>
      </w:r>
      <w:r w:rsidR="00BA02F0">
        <w:t>s</w:t>
      </w:r>
      <w:r>
        <w:t xml:space="preserve"> du SMPE offrent une base pour la mise en œuvre du projet.</w:t>
      </w:r>
    </w:p>
    <w:p w14:paraId="3CF2D8B6" w14:textId="77777777" w:rsidR="006F3BB5" w:rsidRDefault="006F3BB5">
      <w:pPr>
        <w:pStyle w:val="BodyText"/>
        <w:spacing w:before="4"/>
        <w:rPr>
          <w:sz w:val="21"/>
        </w:rPr>
      </w:pPr>
    </w:p>
    <w:p w14:paraId="540A9C98" w14:textId="77777777" w:rsidR="006F3BB5" w:rsidRDefault="22387E79">
      <w:pPr>
        <w:pStyle w:val="BodyText"/>
        <w:ind w:left="100" w:right="353"/>
      </w:pPr>
      <w:r>
        <w:t>Les organisations qui introduisent ou fournissent des services de gestion de cas doivent être responsables de la formation initiale, du renforcement des capacités continu et de la supervision régulière du personnel afin d’assurer la qualité adéquate de la prise en charge. Ceci implique également de fournir régulièrement aux enfants et à leurs familles les moyens de réagir ou de donner leur avis sur l’assistance et les services qu’ils ont reçus.</w:t>
      </w:r>
    </w:p>
    <w:p w14:paraId="0FB78278" w14:textId="77777777" w:rsidR="006F3BB5" w:rsidRDefault="006F3BB5">
      <w:pPr>
        <w:pStyle w:val="BodyText"/>
        <w:spacing w:before="4"/>
        <w:rPr>
          <w:sz w:val="21"/>
        </w:rPr>
      </w:pPr>
    </w:p>
    <w:p w14:paraId="64A73E71" w14:textId="77777777" w:rsidR="006F3BB5" w:rsidRDefault="22387E79">
      <w:pPr>
        <w:pStyle w:val="Heading1"/>
      </w:pPr>
      <w:r>
        <w:t>LES SERVICES DE GESTION DE CAS DOIVENT ÊTRE</w:t>
      </w:r>
    </w:p>
    <w:p w14:paraId="1FC39945" w14:textId="77777777" w:rsidR="006F3BB5" w:rsidRDefault="006F3BB5">
      <w:pPr>
        <w:pStyle w:val="BodyText"/>
        <w:spacing w:before="5"/>
        <w:rPr>
          <w:b/>
          <w:sz w:val="21"/>
        </w:rPr>
      </w:pPr>
    </w:p>
    <w:p w14:paraId="3578DC6C" w14:textId="753ABADF" w:rsidR="006F3BB5" w:rsidRPr="00F0164E" w:rsidRDefault="22387E79" w:rsidP="008B39CC">
      <w:pPr>
        <w:pStyle w:val="ListParagraph"/>
        <w:numPr>
          <w:ilvl w:val="0"/>
          <w:numId w:val="1"/>
        </w:numPr>
        <w:tabs>
          <w:tab w:val="left" w:pos="240"/>
        </w:tabs>
        <w:spacing w:line="269" w:lineRule="exact"/>
        <w:ind w:right="346" w:firstLine="0"/>
        <w:rPr>
          <w:sz w:val="24"/>
          <w:szCs w:val="24"/>
        </w:rPr>
      </w:pPr>
      <w:r w:rsidRPr="00F0164E">
        <w:rPr>
          <w:b/>
          <w:bCs/>
          <w:sz w:val="24"/>
          <w:szCs w:val="24"/>
        </w:rPr>
        <w:t xml:space="preserve">Adaptés à l’enfant : </w:t>
      </w:r>
      <w:r w:rsidRPr="00F0164E">
        <w:rPr>
          <w:sz w:val="24"/>
          <w:szCs w:val="24"/>
        </w:rPr>
        <w:t>Cela suppose que l’on fournit des services de façon appropriée et accessible aux enfants. Par exemple, en fournissant les informations dans des formes et en des termes susceptibles d’être compris</w:t>
      </w:r>
      <w:r w:rsidR="009B7E48" w:rsidRPr="00F0164E">
        <w:rPr>
          <w:sz w:val="24"/>
          <w:szCs w:val="24"/>
        </w:rPr>
        <w:t xml:space="preserve"> </w:t>
      </w:r>
      <w:r w:rsidRPr="00F0164E">
        <w:rPr>
          <w:sz w:val="24"/>
          <w:szCs w:val="24"/>
        </w:rPr>
        <w:t>par les enfants de différents âges.</w:t>
      </w:r>
    </w:p>
    <w:p w14:paraId="0562CB0E" w14:textId="77777777" w:rsidR="006F3BB5" w:rsidRDefault="006F3BB5">
      <w:pPr>
        <w:pStyle w:val="BodyText"/>
      </w:pPr>
    </w:p>
    <w:p w14:paraId="7BA85FBB" w14:textId="67259985" w:rsidR="006F3BB5" w:rsidRPr="00F0164E" w:rsidRDefault="008B52C6" w:rsidP="00803557">
      <w:pPr>
        <w:pStyle w:val="ListParagraph"/>
        <w:numPr>
          <w:ilvl w:val="0"/>
          <w:numId w:val="1"/>
        </w:numPr>
        <w:tabs>
          <w:tab w:val="left" w:pos="240"/>
        </w:tabs>
        <w:spacing w:before="2"/>
        <w:ind w:firstLine="0"/>
        <w:rPr>
          <w:sz w:val="24"/>
          <w:szCs w:val="24"/>
        </w:rPr>
      </w:pPr>
      <w:r w:rsidRPr="00F0164E">
        <w:rPr>
          <w:b/>
          <w:bCs/>
          <w:sz w:val="24"/>
          <w:szCs w:val="24"/>
        </w:rPr>
        <w:t xml:space="preserve">Centrés sur l’enfant : </w:t>
      </w:r>
      <w:r w:rsidRPr="00F0164E">
        <w:rPr>
          <w:sz w:val="24"/>
          <w:szCs w:val="24"/>
        </w:rPr>
        <w:t>Cela consiste à organiser et délivrer des services, et à prendre des décisions en</w:t>
      </w:r>
      <w:r w:rsidR="009B7E48" w:rsidRPr="00F0164E">
        <w:rPr>
          <w:sz w:val="24"/>
          <w:szCs w:val="24"/>
        </w:rPr>
        <w:t xml:space="preserve"> </w:t>
      </w:r>
      <w:r w:rsidR="22387E79" w:rsidRPr="00F0164E">
        <w:rPr>
          <w:sz w:val="24"/>
          <w:szCs w:val="24"/>
        </w:rPr>
        <w:t>se focalisant sur les besoins et les intérêts supérieurs des enfants. Par exemple, vous devez faire la revue du plan de prise en charge et tenir les réunions à des heures convenables pour les enfants et leurs familles plutôt</w:t>
      </w:r>
      <w:r w:rsidR="009B7E48" w:rsidRPr="00F0164E">
        <w:rPr>
          <w:sz w:val="24"/>
          <w:szCs w:val="24"/>
        </w:rPr>
        <w:t xml:space="preserve"> </w:t>
      </w:r>
      <w:r w:rsidR="22387E79" w:rsidRPr="00F0164E">
        <w:rPr>
          <w:sz w:val="24"/>
          <w:szCs w:val="24"/>
        </w:rPr>
        <w:t>qu’aux heures de travail du personnel.</w:t>
      </w:r>
    </w:p>
    <w:p w14:paraId="34CE0A41" w14:textId="77777777" w:rsidR="006F3BB5" w:rsidRDefault="006F3BB5">
      <w:pPr>
        <w:pStyle w:val="BodyText"/>
        <w:rPr>
          <w:sz w:val="26"/>
        </w:rPr>
      </w:pPr>
    </w:p>
    <w:p w14:paraId="62EBF3C5" w14:textId="77777777" w:rsidR="006F3BB5" w:rsidRDefault="006F3BB5">
      <w:pPr>
        <w:sectPr w:rsidR="006F3BB5">
          <w:pgSz w:w="12240" w:h="15840"/>
          <w:pgMar w:top="1360" w:right="1700" w:bottom="280" w:left="1700" w:header="720" w:footer="720" w:gutter="0"/>
          <w:cols w:space="720"/>
        </w:sectPr>
      </w:pPr>
    </w:p>
    <w:p w14:paraId="060760DA" w14:textId="77777777" w:rsidR="009B7E48" w:rsidRDefault="009B7E48" w:rsidP="009B7E48">
      <w:pPr>
        <w:pStyle w:val="Heading1"/>
        <w:spacing w:before="218"/>
        <w:ind w:right="1304"/>
      </w:pPr>
      <w:r>
        <w:lastRenderedPageBreak/>
        <w:t>RENFORCER LES ENFANTS ET LES FAMILLES EN S’APPUYANT SUR LEURS POINTS FORTS</w:t>
      </w:r>
    </w:p>
    <w:p w14:paraId="0109F3B3" w14:textId="77777777" w:rsidR="006F3BB5" w:rsidRDefault="22387E79" w:rsidP="009B7E48">
      <w:pPr>
        <w:pStyle w:val="BodyText"/>
        <w:spacing w:before="231"/>
        <w:ind w:left="102" w:right="159"/>
      </w:pPr>
      <w:r>
        <w:t>Tous les enfants et leurs familles possèdent des ressources et des atouts pour se prendre en charge et contribuer positivement aux solutions de leurs propres problèmes. Les travailleurs sociaux et les superviseurs doivent s’efforcer d’engager les enfants et les familles à jouer un rôle actif dans le processus de gestion de cas.</w:t>
      </w:r>
    </w:p>
    <w:p w14:paraId="6D98A12B" w14:textId="77777777" w:rsidR="006F3BB5" w:rsidRDefault="006F3BB5">
      <w:pPr>
        <w:pStyle w:val="BodyText"/>
        <w:spacing w:before="3"/>
        <w:rPr>
          <w:sz w:val="21"/>
        </w:rPr>
      </w:pPr>
    </w:p>
    <w:p w14:paraId="72251E78" w14:textId="77777777" w:rsidR="006F3BB5" w:rsidRDefault="22387E79">
      <w:pPr>
        <w:pStyle w:val="BodyText"/>
        <w:ind w:left="100" w:right="113"/>
      </w:pPr>
      <w:r>
        <w:t>Tout au long du processus de gestion de cas (évaluation, planification et revue des cas incluses), les travailleurs sociaux doivent se focaliser sur l’autonomisation des enfants et de leurs familles afin de leur donner les moyens de reconnaître, prévenir et prendre eux-mêmes en charge les préoccupations liées à leur protection. En pratique, ceci revient à dire qu’outre l’identification des problèmes et la prestation de services, les travailleurs sociaux doivent tenir compte des points forts et des ressources de l’enfant et de la famille, et chercher à renforcer leur capacité à se prendre en charge de façon autonome.</w:t>
      </w:r>
    </w:p>
    <w:p w14:paraId="2946DB82" w14:textId="77777777" w:rsidR="006F3BB5" w:rsidRDefault="006F3BB5">
      <w:pPr>
        <w:pStyle w:val="BodyText"/>
        <w:spacing w:before="6"/>
        <w:rPr>
          <w:sz w:val="21"/>
        </w:rPr>
      </w:pPr>
    </w:p>
    <w:p w14:paraId="2198D42E" w14:textId="77777777" w:rsidR="006F3BB5" w:rsidRDefault="22387E79">
      <w:pPr>
        <w:pStyle w:val="BodyText"/>
        <w:ind w:left="100" w:right="218"/>
      </w:pPr>
      <w:r>
        <w:t>Si les travailleurs sociaux fournissent un service important, ce sont les vies des enfants et de leurs familles qui en sont affectées en fin de compte. Ces derniers doivent toujours être des participants actifs dans les décisions concernant leur prise en charge. Par ailleurs, aider les enfants à s’impliquer dans la prise de décision constitue une étape importante dans le processus de reconstruction, qui doit leur donner un sentiment de contrôle sur leur vie et leur permettre de développer des capacités de résilience.</w:t>
      </w:r>
    </w:p>
    <w:p w14:paraId="5997CC1D" w14:textId="77777777" w:rsidR="006F3BB5" w:rsidRDefault="006F3BB5">
      <w:pPr>
        <w:pStyle w:val="BodyText"/>
        <w:spacing w:before="2"/>
        <w:rPr>
          <w:sz w:val="21"/>
        </w:rPr>
      </w:pPr>
    </w:p>
    <w:p w14:paraId="7D058FAF" w14:textId="144B89FC" w:rsidR="006F3BB5" w:rsidRDefault="008B52C6" w:rsidP="00F0164E">
      <w:pPr>
        <w:pStyle w:val="Heading1"/>
        <w:spacing w:before="1"/>
        <w:ind w:right="626"/>
        <w:rPr>
          <w:rFonts w:ascii="Courier New" w:hAnsi="Courier New"/>
        </w:rPr>
      </w:pPr>
      <w:r>
        <w:t>BASER LES INTERVENTIONS SUR UNE PARFAITE CONNAISSANCE DU DÉVELOPPEMENT DE L’ENFANT, DES DROITS DE L’ENFANT ET DE LA PROTECTION DE L’ENFANCE</w:t>
      </w:r>
    </w:p>
    <w:p w14:paraId="64F3F854" w14:textId="5A0A38F5" w:rsidR="006F3BB5" w:rsidRDefault="22387E79" w:rsidP="009B7E48">
      <w:pPr>
        <w:pStyle w:val="BodyText"/>
        <w:spacing w:before="231"/>
        <w:ind w:left="100" w:right="109"/>
      </w:pPr>
      <w:r>
        <w:t xml:space="preserve">Les évaluations et les interventions doivent être effectuées sur la base de la connaissance </w:t>
      </w:r>
      <w:r w:rsidR="009B7E48">
        <w:br/>
      </w:r>
      <w:r>
        <w:t xml:space="preserve">du développement de l’enfant, des droits de l’enfant et de la protection de l’enfance (comprendre les vulnérabilités et les facteurs de risque et la dynamique familiale, entre autres). </w:t>
      </w:r>
      <w:r>
        <w:rPr>
          <w:i/>
          <w:iCs/>
        </w:rPr>
        <w:t>La connaissance du développement de l’enfant</w:t>
      </w:r>
      <w:r>
        <w:t xml:space="preserve"> permet aux travailleurs sociaux de déterminer comment impliquer les enfants et communiquer avec eux selon leur âge et le développement de leurs capacités. Puisque les standards de traitement des enfants varient selon les cultures et les régions, la connaissance des </w:t>
      </w:r>
      <w:r>
        <w:rPr>
          <w:i/>
          <w:iCs/>
        </w:rPr>
        <w:t xml:space="preserve">droits des enfants </w:t>
      </w:r>
      <w:r>
        <w:t>est essentielle pour s’assurer que les normes et standards internationaux sont respectés et inclus dans les décisions prises dans la gestion des cas. Enfin, le personnel qui travaille avec les enfants touchés par les crises humanitaires, victimes d’exploitation sexuelle, non accompagnés ou séparés, doit également recevoir une formation spécialisée dans la gestion de ces cas sensibles. Sans une formation adaptée, les plans de prise en charge</w:t>
      </w:r>
      <w:r w:rsidR="009B7E48">
        <w:t xml:space="preserve"> </w:t>
      </w:r>
      <w:r>
        <w:t>risquent de ne pas prendre en compte de façon adéquate les besoins et des droits des enfants. Ils peuvent même porter tort à l’enfant.</w:t>
      </w:r>
    </w:p>
    <w:p w14:paraId="110FFD37" w14:textId="77777777" w:rsidR="006F3BB5" w:rsidRDefault="006F3BB5">
      <w:pPr>
        <w:pStyle w:val="BodyText"/>
        <w:spacing w:before="4"/>
        <w:rPr>
          <w:sz w:val="21"/>
        </w:rPr>
      </w:pPr>
    </w:p>
    <w:p w14:paraId="2913F8A0" w14:textId="77777777" w:rsidR="006F3BB5" w:rsidRDefault="22387E79">
      <w:pPr>
        <w:pStyle w:val="Heading1"/>
      </w:pPr>
      <w:r>
        <w:t>FACILITER UNE PARTICIPATION EFFECTIVE DES ENFANTS</w:t>
      </w:r>
    </w:p>
    <w:p w14:paraId="6B699379" w14:textId="77777777" w:rsidR="006F3BB5" w:rsidRDefault="006F3BB5">
      <w:pPr>
        <w:pStyle w:val="BodyText"/>
        <w:spacing w:before="3"/>
        <w:rPr>
          <w:b/>
          <w:sz w:val="21"/>
        </w:rPr>
      </w:pPr>
    </w:p>
    <w:p w14:paraId="6EE3D1BB" w14:textId="30F94E02" w:rsidR="006F3BB5" w:rsidRDefault="008B52C6" w:rsidP="009B7E48">
      <w:pPr>
        <w:pStyle w:val="BodyText"/>
        <w:ind w:left="100" w:right="103"/>
      </w:pPr>
      <w:r>
        <w:t>Les enfants ont le droit d’exprimer leurs opinions au sujet de leurs expériences et de prendre part aux décisions qui affectent leurs vies. Les organisations et les travailleurs sociaux sont chargés de tenir les enfants au courant de leur droit à participer, y compris leur droit à ne pas répondre aux questions qui les dérangent, et de les assister dans la revendication de ce droit au cours du</w:t>
      </w:r>
      <w:r w:rsidR="009B7E48">
        <w:t xml:space="preserve"> </w:t>
      </w:r>
      <w:r w:rsidR="22387E79">
        <w:t>processus de gestion de cas. La participation des enfants permet d’empêcher un travailleur social de prendre une décision contre leur gré, même si elle est dans leur intérêt</w:t>
      </w:r>
      <w:r w:rsidR="00F0164E">
        <w:t xml:space="preserve"> </w:t>
      </w:r>
      <w:r w:rsidR="22387E79">
        <w:t>(par exemple : les faire quitter un foyer où ils souffrent d’abus). Les travailleurs sociaux doivent expliquer de telles décisions avec soin et empathie à l’enfant concerné.</w:t>
      </w:r>
    </w:p>
    <w:p w14:paraId="3FE9F23F" w14:textId="77777777" w:rsidR="006F3BB5" w:rsidRDefault="006F3BB5">
      <w:pPr>
        <w:pStyle w:val="BodyText"/>
        <w:spacing w:before="4"/>
        <w:rPr>
          <w:sz w:val="21"/>
        </w:rPr>
      </w:pPr>
    </w:p>
    <w:p w14:paraId="1F72F646" w14:textId="77777777" w:rsidR="006F3BB5" w:rsidRDefault="006F3BB5">
      <w:pPr>
        <w:sectPr w:rsidR="006F3BB5">
          <w:pgSz w:w="12240" w:h="15840"/>
          <w:pgMar w:top="1360" w:right="1700" w:bottom="280" w:left="1700" w:header="720" w:footer="720" w:gutter="0"/>
          <w:cols w:space="720"/>
        </w:sectPr>
      </w:pPr>
    </w:p>
    <w:p w14:paraId="5DA076C4" w14:textId="77777777" w:rsidR="009B7E48" w:rsidRDefault="009B7E48" w:rsidP="009B7E48">
      <w:pPr>
        <w:pStyle w:val="BodyText"/>
        <w:ind w:left="100" w:right="284"/>
      </w:pPr>
      <w:r>
        <w:lastRenderedPageBreak/>
        <w:t>Impliquer les enfants et leurs familles dans la planification et la prise de décision de leur propre prise en charge est crucial afin de garantir que les services fournis soient appropriés et efficaces. Par ailleurs, cette action contribue à la résilience naturelle des enfants et leur capacité à être des agents de leur propre protection.</w:t>
      </w:r>
    </w:p>
    <w:p w14:paraId="6BC0C708" w14:textId="77777777" w:rsidR="009B7E48" w:rsidRPr="00F0164E" w:rsidRDefault="009B7E48" w:rsidP="00F0164E">
      <w:pPr>
        <w:pStyle w:val="BodyText"/>
        <w:spacing w:before="3"/>
        <w:rPr>
          <w:sz w:val="21"/>
        </w:rPr>
      </w:pPr>
    </w:p>
    <w:p w14:paraId="1AF6BA32" w14:textId="77777777" w:rsidR="006F3BB5" w:rsidRDefault="22387E79" w:rsidP="00F0164E">
      <w:pPr>
        <w:pStyle w:val="BodyText"/>
        <w:ind w:left="102" w:right="363"/>
      </w:pPr>
      <w:r>
        <w:t>Il est important de se rappeler que la capacité d’un enfant à prendre des décisions dépend de son âge, de sa maturité et du développement de ses capacités. Même les enfants en bas âge peuvent prendre part aux décisions, quoique cela puisse exiger plus de temps et de compétence de la part du travailleur social qui aidera l’enfant à exprimer son point de vue. Les enfants ont le droit de recevoir les informations dans une forme appropriée leur permettant de comprendre ce qui se passe durant le processus de gestion de dossier.</w:t>
      </w:r>
    </w:p>
    <w:p w14:paraId="08CE6F91" w14:textId="77777777" w:rsidR="006F3BB5" w:rsidRDefault="006F3BB5">
      <w:pPr>
        <w:pStyle w:val="BodyText"/>
        <w:spacing w:before="3"/>
        <w:rPr>
          <w:sz w:val="21"/>
        </w:rPr>
      </w:pPr>
    </w:p>
    <w:p w14:paraId="121ED66D" w14:textId="6FF91697" w:rsidR="006F3BB5" w:rsidRDefault="22387E79">
      <w:pPr>
        <w:pStyle w:val="BodyText"/>
        <w:ind w:left="100" w:right="92"/>
      </w:pPr>
      <w:r>
        <w:t xml:space="preserve">Lorsque les enfants appartiennent à un groupe défavorisé (en raison par exemple de leur genre, de leur ethnie ou d’un handicap) ou lorsque le contexte culturel et social ne permet pas aux enfants de participer, les enfants peuvent être moins à l’aise ou se sentir moins en confiance quand on les invite à participer et qu’on les implique dans la prise de décision. </w:t>
      </w:r>
      <w:r w:rsidR="009B7E48">
        <w:br/>
      </w:r>
      <w:r>
        <w:t>Les travailleurs sociaux ont un rôle à jouer en encourageant les enfants à dévoiler leurs problèmes et en les rassurant sur leur capacité à prendre des décisions. Particulièrement, dans les contextes où il est risqué pour les enfants de parler en public, les travailleurs sociaux ont la responsabilité de créer un espace sécurisé et confidentiel pour permettre aux enfants de prendre part à leur propre prise en charge. Il est indispensable de maintenir la confidentialité et de tenir compte de la sécurité lors de la mise en œuvre des plans de prise en charge, pour garantir que les enfants ne soient pas exposés à des risques.</w:t>
      </w:r>
    </w:p>
    <w:p w14:paraId="61CDCEAD" w14:textId="77777777" w:rsidR="006F3BB5" w:rsidRDefault="006F3BB5">
      <w:pPr>
        <w:pStyle w:val="BodyText"/>
        <w:spacing w:before="5"/>
        <w:rPr>
          <w:sz w:val="21"/>
        </w:rPr>
      </w:pPr>
    </w:p>
    <w:p w14:paraId="759E10CB" w14:textId="77777777" w:rsidR="006F3BB5" w:rsidRPr="009B7E48" w:rsidRDefault="22387E79">
      <w:pPr>
        <w:pStyle w:val="Heading1"/>
        <w:rPr>
          <w:spacing w:val="-4"/>
        </w:rPr>
      </w:pPr>
      <w:r w:rsidRPr="009B7E48">
        <w:rPr>
          <w:spacing w:val="-4"/>
        </w:rPr>
        <w:t>FOURNIR DES PROCESSUS ET DES SERVICES CULTURELLEMENT ADAPTÉS</w:t>
      </w:r>
    </w:p>
    <w:p w14:paraId="6BB9E253" w14:textId="77777777" w:rsidR="006F3BB5" w:rsidRDefault="006F3BB5">
      <w:pPr>
        <w:pStyle w:val="BodyText"/>
        <w:spacing w:before="5"/>
        <w:rPr>
          <w:b/>
          <w:sz w:val="21"/>
        </w:rPr>
      </w:pPr>
    </w:p>
    <w:p w14:paraId="6FB887A8" w14:textId="77777777" w:rsidR="006F3BB5" w:rsidRDefault="22387E79">
      <w:pPr>
        <w:pStyle w:val="BodyText"/>
        <w:ind w:left="100" w:right="243"/>
      </w:pPr>
      <w:r>
        <w:t>Les travailleurs sociaux et les organisations doivent reconnaître et respecter la diversité au sein des communautés dans lesquelles ils travaillent, et prêter attention aux différences individuelles, familiales, de groupe et de communauté. Cela est important pour pouvoir faire une évaluation éclairée et holistique de la situation de l’enfant.</w:t>
      </w:r>
    </w:p>
    <w:p w14:paraId="23DE523C" w14:textId="77777777" w:rsidR="006F3BB5" w:rsidRDefault="006F3BB5">
      <w:pPr>
        <w:pStyle w:val="BodyText"/>
        <w:spacing w:before="2"/>
        <w:rPr>
          <w:sz w:val="21"/>
        </w:rPr>
      </w:pPr>
    </w:p>
    <w:p w14:paraId="352DA3B9" w14:textId="77777777" w:rsidR="006F3BB5" w:rsidRDefault="22387E79">
      <w:pPr>
        <w:pStyle w:val="BodyText"/>
        <w:spacing w:before="1"/>
        <w:ind w:left="100" w:right="124"/>
      </w:pPr>
      <w:r>
        <w:t>La sensibilisation culturelle améliore également la capacité des travailleurs sociaux à travailler effectivement avec les enfants, les familles et les communautés, et à identifier les solutions qui valorisent les méthodes locales de prise en charge et de protection et respectent les valeurs et les croyances des enfants et des familles. Sans considération du contexte culturel, la qualité des services de gestion des cas peut être affectée, entraînant la mise en œuvre de plans de prise en charge inadaptés aux réalités de la vie et aux croyances des personnes et donc inacceptables, ce qui rend difficile leur exécution.</w:t>
      </w:r>
    </w:p>
    <w:p w14:paraId="52E56223" w14:textId="77777777" w:rsidR="006F3BB5" w:rsidRDefault="006F3BB5">
      <w:pPr>
        <w:pStyle w:val="BodyText"/>
        <w:spacing w:before="3"/>
        <w:rPr>
          <w:sz w:val="21"/>
        </w:rPr>
      </w:pPr>
    </w:p>
    <w:p w14:paraId="06A940F7" w14:textId="02BB9033" w:rsidR="006F3BB5" w:rsidRDefault="22387E79">
      <w:pPr>
        <w:pStyle w:val="BodyText"/>
        <w:ind w:left="100" w:right="171"/>
      </w:pPr>
      <w:r>
        <w:t>Lorsque l’intérêt supérieur de l’enfant est en conflit avec les valeurs ou les pratiques culturelles, les responsables et les travailleurs sociaux sont tenus de continuer à accorder la priorité aux intérêts supérieurs de l’enfant et à prendre les décisions qui ne les exposent pas à des risques supplémentaires (qui ne leur portent pas</w:t>
      </w:r>
      <w:r w:rsidR="0077763B">
        <w:t xml:space="preserve"> </w:t>
      </w:r>
      <w:r>
        <w:t>tort). Il peut s’avérer difficile de trouver des solutions perçues comme acceptables pour la famille et la communauté. Cependant, les responsables et les travailleurs sociaux doivent fournir tous les efforts possibles pour travailler avec les enfants et les familles afin de trouver des solutions acceptables sur le plan culturel qui sont également conformes aux droits des enfants. Avec des questions difficiles telles que la mutilation génitale des femmes, l’absence d’éducation des filles et le travail des enfants, les travailleurs sociaux doivent développer des stratégies de réduction des méfaits et chercher à traiter les causes profondes des conditions sociales. Par exemple, les familles qui envoient leurs filles à l’école peuvent recevoir un accès prioritaire aux programmes de transfert d’argent ou aux projets de génération de revenus.</w:t>
      </w:r>
    </w:p>
    <w:p w14:paraId="0833C175" w14:textId="77777777" w:rsidR="00F0164E" w:rsidRDefault="00F0164E">
      <w:pPr>
        <w:pStyle w:val="BodyText"/>
        <w:ind w:left="100" w:right="171"/>
      </w:pPr>
    </w:p>
    <w:p w14:paraId="6675EF85" w14:textId="77777777" w:rsidR="006F3BB5" w:rsidRDefault="22387E79">
      <w:pPr>
        <w:pStyle w:val="BodyText"/>
        <w:ind w:left="100" w:right="211"/>
      </w:pPr>
      <w:r>
        <w:lastRenderedPageBreak/>
        <w:t>Dans certains contextes, cibler ces problèmes de protection et ces pratiques culturelles peut être source de conflits et créer des risques supplémentaires pour les enfants, les familles, les communautés, ainsi que pour les travailleurs sociaux. Les décisions prises par rapport à ces problèmes doivent reposer sur une évaluation minutieuse des risques et toujours respecter les principes de « ne pas nuire » et de l’intérêt supérieur de l’enfant.</w:t>
      </w:r>
    </w:p>
    <w:p w14:paraId="5043CB0F" w14:textId="77777777" w:rsidR="006F3BB5" w:rsidRDefault="006F3BB5">
      <w:pPr>
        <w:pStyle w:val="BodyText"/>
        <w:spacing w:before="4"/>
        <w:rPr>
          <w:sz w:val="21"/>
        </w:rPr>
      </w:pPr>
    </w:p>
    <w:p w14:paraId="771EC3D0" w14:textId="77777777" w:rsidR="006F3BB5" w:rsidRDefault="22387E79">
      <w:pPr>
        <w:pStyle w:val="Heading1"/>
      </w:pPr>
      <w:r>
        <w:t>COORDINATION ET COLLABORATION</w:t>
      </w:r>
    </w:p>
    <w:p w14:paraId="07459315" w14:textId="77777777" w:rsidR="006F3BB5" w:rsidRDefault="006F3BB5">
      <w:pPr>
        <w:pStyle w:val="BodyText"/>
        <w:spacing w:before="5"/>
        <w:rPr>
          <w:b/>
          <w:sz w:val="21"/>
        </w:rPr>
      </w:pPr>
    </w:p>
    <w:p w14:paraId="030B419E" w14:textId="2BC0474D" w:rsidR="009B7E48" w:rsidRDefault="22387E79" w:rsidP="009B7E48">
      <w:pPr>
        <w:pStyle w:val="BodyText"/>
        <w:spacing w:before="80"/>
        <w:ind w:left="100" w:right="213"/>
      </w:pPr>
      <w:r>
        <w:t>Les programmes de protection de l’enfance sont plus efficaces lorsque les organisations travaillent ensemble et impliquent</w:t>
      </w:r>
      <w:r w:rsidR="009B7E48">
        <w:t xml:space="preserve"> les communautés, les familles et les enfants dans leurs efforts. La gestion de cas peut améliorer la coordination et la collaboration entre tous les acteurs ayant pour mandat de protéger les enfants, y compris les dirigeants de la communauté, les services gouvernementaux, les prestataires, les organisations communautaires, les ONG locales et les organisations internationales.</w:t>
      </w:r>
    </w:p>
    <w:p w14:paraId="61E1006C" w14:textId="77777777" w:rsidR="009B7E48" w:rsidRDefault="009B7E48" w:rsidP="009B7E48">
      <w:pPr>
        <w:pStyle w:val="BodyText"/>
        <w:spacing w:before="3"/>
        <w:rPr>
          <w:sz w:val="21"/>
        </w:rPr>
      </w:pPr>
    </w:p>
    <w:p w14:paraId="0FDA07A8" w14:textId="77777777" w:rsidR="009B7E48" w:rsidRDefault="009B7E48" w:rsidP="009B7E48">
      <w:pPr>
        <w:pStyle w:val="BodyText"/>
        <w:ind w:left="100" w:right="204"/>
      </w:pPr>
      <w:r>
        <w:t>Les protocoles approuvés portant sur le partage des informations et le référencement contribuent à la qualité de la gestion de cas et assurent la confidentialité dans l’intérêt supérieur de l’enfant. Les organisations internationales, en particulier, ont la responsabilité de synchroniser leurs activités et leurs efforts avec les gouvernements nationaux et les organisations non gouvernementales pour renforcer les systèmes existants et éviter la duplication des efforts.</w:t>
      </w:r>
    </w:p>
    <w:p w14:paraId="3A646909" w14:textId="77777777" w:rsidR="009B7E48" w:rsidRDefault="009B7E48" w:rsidP="009B7E48">
      <w:pPr>
        <w:pStyle w:val="BodyText"/>
        <w:spacing w:before="6"/>
        <w:rPr>
          <w:sz w:val="21"/>
        </w:rPr>
      </w:pPr>
    </w:p>
    <w:p w14:paraId="391E502B" w14:textId="2AFDFD1D" w:rsidR="009B7E48" w:rsidRDefault="009B7E48" w:rsidP="00F0164E">
      <w:pPr>
        <w:pStyle w:val="Heading1"/>
        <w:ind w:right="442"/>
        <w:rPr>
          <w:rFonts w:ascii="Courier New" w:hAnsi="Courier New"/>
        </w:rPr>
      </w:pPr>
      <w:r>
        <w:t>MAINTENIR UNE DISTANCE PROFESSIONNELLE ET GÉRER LES CONFLITS D’INTÉRÊTS</w:t>
      </w:r>
    </w:p>
    <w:p w14:paraId="5AF6498D" w14:textId="77777777" w:rsidR="009B7E48" w:rsidRDefault="009B7E48" w:rsidP="009B7E48">
      <w:pPr>
        <w:pStyle w:val="BodyText"/>
        <w:spacing w:before="231"/>
        <w:ind w:left="100" w:right="146"/>
      </w:pPr>
      <w:r>
        <w:t>Les travailleurs sociaux et les organisations doivent agir avec intégrité, sans abuser de leur autorité ou de la confiance des enfants ou de leurs familles. Les travailleurs sociaux ne doivent pas demander ni accepter de faveurs, de paiements ou de cadeaux en échange des services ou de l’assistance qu’ils apportent.</w:t>
      </w:r>
    </w:p>
    <w:p w14:paraId="35708E73" w14:textId="77777777" w:rsidR="009B7E48" w:rsidRDefault="009B7E48" w:rsidP="009B7E48">
      <w:pPr>
        <w:pStyle w:val="BodyText"/>
        <w:spacing w:before="2"/>
        <w:rPr>
          <w:sz w:val="21"/>
        </w:rPr>
      </w:pPr>
    </w:p>
    <w:p w14:paraId="3A159EA8" w14:textId="77777777" w:rsidR="009B7E48" w:rsidRDefault="009B7E48" w:rsidP="009B7E48">
      <w:pPr>
        <w:pStyle w:val="BodyText"/>
        <w:spacing w:before="1"/>
        <w:ind w:left="100" w:right="126"/>
      </w:pPr>
      <w:r>
        <w:t>Les limites personnelles et professionnelles doivent être reconnues et respectées. Des mesures doivent être prises pour gérer les conflits d’intérêts lorsqu’ils se présentent. Un conflit d’intérêts se présente par exemple lorsque le travailleur social et l’enfant sont liés d’une façon ou d’une autre, qu’ils appartiennent au même réseau social ou que le travailleur social travaillant avec l’enfant est également en charge de l’auteur de l’abus.</w:t>
      </w:r>
    </w:p>
    <w:p w14:paraId="6A745471" w14:textId="77777777" w:rsidR="009B7E48" w:rsidRDefault="009B7E48" w:rsidP="009B7E48">
      <w:pPr>
        <w:pStyle w:val="BodyText"/>
        <w:spacing w:before="5"/>
        <w:rPr>
          <w:sz w:val="21"/>
        </w:rPr>
      </w:pPr>
    </w:p>
    <w:p w14:paraId="0BD862D9" w14:textId="0A7C1F28" w:rsidR="009B7E48" w:rsidRDefault="009B7E48" w:rsidP="009B7E48">
      <w:pPr>
        <w:pStyle w:val="BodyText"/>
        <w:ind w:left="100" w:right="255"/>
      </w:pPr>
      <w:r>
        <w:t xml:space="preserve">Les travailleurs sociaux et les organisations doivent intervenir afin de résoudre ces questions d’une façon positive pour l’enfant afin que ceux-ci n’en soient pas affectés </w:t>
      </w:r>
      <w:r>
        <w:br/>
        <w:t>ou ne soient pas victimes d’injustice.</w:t>
      </w:r>
    </w:p>
    <w:p w14:paraId="0754D29C" w14:textId="77777777" w:rsidR="009B7E48" w:rsidRDefault="009B7E48" w:rsidP="009B7E48">
      <w:pPr>
        <w:pStyle w:val="BodyText"/>
        <w:spacing w:before="2"/>
        <w:rPr>
          <w:sz w:val="21"/>
        </w:rPr>
      </w:pPr>
    </w:p>
    <w:p w14:paraId="5C2071DA" w14:textId="77777777" w:rsidR="009B7E48" w:rsidRDefault="009B7E48" w:rsidP="009B7E48">
      <w:pPr>
        <w:pStyle w:val="Heading1"/>
        <w:spacing w:before="1"/>
      </w:pPr>
      <w:r>
        <w:t>RESPECTER LES LOIS ET LES POLITIQUES RELATIVES AU SIGNALEMENT OBLIGATOIRE</w:t>
      </w:r>
    </w:p>
    <w:p w14:paraId="63BCA776" w14:textId="77777777" w:rsidR="009B7E48" w:rsidRDefault="009B7E48" w:rsidP="009B7E48">
      <w:pPr>
        <w:pStyle w:val="BodyText"/>
        <w:spacing w:before="4"/>
        <w:rPr>
          <w:b/>
          <w:sz w:val="21"/>
        </w:rPr>
      </w:pPr>
    </w:p>
    <w:p w14:paraId="57714FF4" w14:textId="334F2B49" w:rsidR="009B7E48" w:rsidRDefault="009B7E48" w:rsidP="009B7E48">
      <w:pPr>
        <w:pStyle w:val="BodyText"/>
        <w:ind w:left="100" w:right="124"/>
      </w:pPr>
      <w:r>
        <w:t xml:space="preserve">Plusieurs pays ont instauré des exigences de signalement qui imposent à certains acteurs (tels </w:t>
      </w:r>
      <w:r w:rsidRPr="009B7E48">
        <w:rPr>
          <w:spacing w:val="-2"/>
        </w:rPr>
        <w:t>que les organisations de protection de l’enfance, leur personnel, les enseignants, les infirmières</w:t>
      </w:r>
      <w:r>
        <w:t xml:space="preserve"> et les médecins) de déclarer les cas d’abus sur enfant aux autorités gouvernementales compétentes. Cependant, ces exigences peuvent présenter des difficultés pour les travailleurs sociaux lorsque les informations sont de nature si sensible qu’elles ne peuvent pas être partagées avec d’autres acteurs sans porter tort à l’enfant.</w:t>
      </w:r>
    </w:p>
    <w:p w14:paraId="311527AC" w14:textId="77777777" w:rsidR="009B7E48" w:rsidRDefault="009B7E48" w:rsidP="009B7E48">
      <w:pPr>
        <w:pStyle w:val="BodyText"/>
        <w:spacing w:before="3"/>
        <w:rPr>
          <w:sz w:val="21"/>
        </w:rPr>
      </w:pPr>
    </w:p>
    <w:p w14:paraId="4A976C1F" w14:textId="77777777" w:rsidR="009B7E48" w:rsidRDefault="009B7E48" w:rsidP="009B7E48">
      <w:pPr>
        <w:pStyle w:val="BodyText"/>
        <w:spacing w:before="1"/>
        <w:ind w:left="100" w:right="399"/>
      </w:pPr>
    </w:p>
    <w:p w14:paraId="2E1BBA5A" w14:textId="77777777" w:rsidR="009B7E48" w:rsidRDefault="009B7E48" w:rsidP="009B7E48">
      <w:pPr>
        <w:pStyle w:val="BodyText"/>
        <w:spacing w:before="1"/>
        <w:ind w:left="100" w:right="399"/>
      </w:pPr>
    </w:p>
    <w:p w14:paraId="4BCE93C2" w14:textId="3182D3FC" w:rsidR="006F3BB5" w:rsidRPr="009B7E48" w:rsidRDefault="006F3BB5">
      <w:pPr>
        <w:pStyle w:val="BodyText"/>
        <w:ind w:left="100"/>
      </w:pPr>
    </w:p>
    <w:p w14:paraId="6537F28F" w14:textId="77777777" w:rsidR="006F3BB5" w:rsidRDefault="006F3BB5">
      <w:pPr>
        <w:sectPr w:rsidR="006F3BB5">
          <w:pgSz w:w="12240" w:h="15840"/>
          <w:pgMar w:top="1360" w:right="1700" w:bottom="280" w:left="1700" w:header="720" w:footer="720" w:gutter="0"/>
          <w:cols w:space="720"/>
        </w:sectPr>
      </w:pPr>
    </w:p>
    <w:p w14:paraId="5A28A8B4" w14:textId="77777777" w:rsidR="009B7E48" w:rsidRDefault="009B7E48" w:rsidP="009B7E48">
      <w:pPr>
        <w:pStyle w:val="BodyText"/>
        <w:spacing w:before="1"/>
        <w:ind w:left="100" w:right="399"/>
      </w:pPr>
      <w:r>
        <w:lastRenderedPageBreak/>
        <w:t>C’est d’autant plus problématique lorsque les protocoles de protection des données ne sont pas en place ou ne sont pas scrupuleusement respectés. Dans des contextes humanitaires, en cas de problème concernant la sûreté et la sécurité des personnes impliquées, on recommande de procéder au cas par cas, à la lumière des normes et des pratiques locales en vigueur dans le pays concerné, et en respectant toujours l’intérêt supérieur de l’enfant.</w:t>
      </w:r>
    </w:p>
    <w:p w14:paraId="64DCE3EB" w14:textId="77777777" w:rsidR="009B7E48" w:rsidRDefault="009B7E48" w:rsidP="009B7E48">
      <w:pPr>
        <w:pStyle w:val="BodyText"/>
        <w:spacing w:before="4"/>
        <w:rPr>
          <w:sz w:val="21"/>
        </w:rPr>
      </w:pPr>
    </w:p>
    <w:p w14:paraId="0920A91B" w14:textId="77777777" w:rsidR="009B7E48" w:rsidRDefault="009B7E48" w:rsidP="009B7E48">
      <w:pPr>
        <w:pStyle w:val="BodyText"/>
        <w:spacing w:before="1"/>
        <w:ind w:left="100" w:right="124"/>
      </w:pPr>
      <w:r>
        <w:t>Les organisations qui travaillent avec les enfants doivent avoir leurs propres politiques internes de protection et de sauvegarde de l’enfance, qui doivent être respectées à tout moment (voir la section Référence pour plus d’informations). Ces politiques établissent souvent des normes plus strictes que la loi concernant les responsabilités du personnel et le comportement auquel il est tenu.</w:t>
      </w:r>
    </w:p>
    <w:p w14:paraId="525E9D5A" w14:textId="2A5A964C" w:rsidR="006F3BB5" w:rsidRPr="009B7E48" w:rsidRDefault="006F3BB5" w:rsidP="009B7E48">
      <w:pPr>
        <w:pStyle w:val="BodyText"/>
        <w:spacing w:before="80"/>
        <w:ind w:left="100" w:right="213"/>
      </w:pPr>
    </w:p>
    <w:sectPr w:rsidR="006F3BB5" w:rsidRPr="009B7E48">
      <w:pgSz w:w="12240" w:h="15840"/>
      <w:pgMar w:top="1360" w:right="1700" w:bottom="280"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86542" w14:textId="77777777" w:rsidR="009E7020" w:rsidRDefault="009E7020" w:rsidP="009B7E48">
      <w:r>
        <w:separator/>
      </w:r>
    </w:p>
  </w:endnote>
  <w:endnote w:type="continuationSeparator" w:id="0">
    <w:p w14:paraId="2448B63D" w14:textId="77777777" w:rsidR="009E7020" w:rsidRDefault="009E7020" w:rsidP="009B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109A8" w14:textId="77777777" w:rsidR="009E7020" w:rsidRDefault="009E7020" w:rsidP="009B7E48">
      <w:r>
        <w:separator/>
      </w:r>
    </w:p>
  </w:footnote>
  <w:footnote w:type="continuationSeparator" w:id="0">
    <w:p w14:paraId="0A53AD76" w14:textId="77777777" w:rsidR="009E7020" w:rsidRDefault="009E7020" w:rsidP="009B7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B8774D"/>
    <w:multiLevelType w:val="hybridMultilevel"/>
    <w:tmpl w:val="2A42980E"/>
    <w:lvl w:ilvl="0" w:tplc="B5CCCA48">
      <w:numFmt w:val="bullet"/>
      <w:lvlText w:val="-"/>
      <w:lvlJc w:val="left"/>
      <w:pPr>
        <w:ind w:left="100" w:hanging="140"/>
      </w:pPr>
      <w:rPr>
        <w:rFonts w:ascii="Garamond" w:eastAsia="Garamond" w:hAnsi="Garamond" w:cs="Garamond" w:hint="default"/>
        <w:b/>
        <w:bCs/>
        <w:w w:val="100"/>
        <w:sz w:val="24"/>
        <w:szCs w:val="24"/>
        <w:lang w:val="it-IT" w:eastAsia="it-IT" w:bidi="it-IT"/>
      </w:rPr>
    </w:lvl>
    <w:lvl w:ilvl="1" w:tplc="C1125F02">
      <w:numFmt w:val="bullet"/>
      <w:lvlText w:val="•"/>
      <w:lvlJc w:val="left"/>
      <w:pPr>
        <w:ind w:left="974" w:hanging="140"/>
      </w:pPr>
      <w:rPr>
        <w:rFonts w:hint="default"/>
        <w:lang w:val="it-IT" w:eastAsia="it-IT" w:bidi="it-IT"/>
      </w:rPr>
    </w:lvl>
    <w:lvl w:ilvl="2" w:tplc="56402986">
      <w:numFmt w:val="bullet"/>
      <w:lvlText w:val="•"/>
      <w:lvlJc w:val="left"/>
      <w:pPr>
        <w:ind w:left="1848" w:hanging="140"/>
      </w:pPr>
      <w:rPr>
        <w:rFonts w:hint="default"/>
        <w:lang w:val="it-IT" w:eastAsia="it-IT" w:bidi="it-IT"/>
      </w:rPr>
    </w:lvl>
    <w:lvl w:ilvl="3" w:tplc="4F7CD2F8">
      <w:numFmt w:val="bullet"/>
      <w:lvlText w:val="•"/>
      <w:lvlJc w:val="left"/>
      <w:pPr>
        <w:ind w:left="2722" w:hanging="140"/>
      </w:pPr>
      <w:rPr>
        <w:rFonts w:hint="default"/>
        <w:lang w:val="it-IT" w:eastAsia="it-IT" w:bidi="it-IT"/>
      </w:rPr>
    </w:lvl>
    <w:lvl w:ilvl="4" w:tplc="096231A4">
      <w:numFmt w:val="bullet"/>
      <w:lvlText w:val="•"/>
      <w:lvlJc w:val="left"/>
      <w:pPr>
        <w:ind w:left="3596" w:hanging="140"/>
      </w:pPr>
      <w:rPr>
        <w:rFonts w:hint="default"/>
        <w:lang w:val="it-IT" w:eastAsia="it-IT" w:bidi="it-IT"/>
      </w:rPr>
    </w:lvl>
    <w:lvl w:ilvl="5" w:tplc="AE101730">
      <w:numFmt w:val="bullet"/>
      <w:lvlText w:val="•"/>
      <w:lvlJc w:val="left"/>
      <w:pPr>
        <w:ind w:left="4470" w:hanging="140"/>
      </w:pPr>
      <w:rPr>
        <w:rFonts w:hint="default"/>
        <w:lang w:val="it-IT" w:eastAsia="it-IT" w:bidi="it-IT"/>
      </w:rPr>
    </w:lvl>
    <w:lvl w:ilvl="6" w:tplc="D7AC634C">
      <w:numFmt w:val="bullet"/>
      <w:lvlText w:val="•"/>
      <w:lvlJc w:val="left"/>
      <w:pPr>
        <w:ind w:left="5344" w:hanging="140"/>
      </w:pPr>
      <w:rPr>
        <w:rFonts w:hint="default"/>
        <w:lang w:val="it-IT" w:eastAsia="it-IT" w:bidi="it-IT"/>
      </w:rPr>
    </w:lvl>
    <w:lvl w:ilvl="7" w:tplc="DAEADE9E">
      <w:numFmt w:val="bullet"/>
      <w:lvlText w:val="•"/>
      <w:lvlJc w:val="left"/>
      <w:pPr>
        <w:ind w:left="6218" w:hanging="140"/>
      </w:pPr>
      <w:rPr>
        <w:rFonts w:hint="default"/>
        <w:lang w:val="it-IT" w:eastAsia="it-IT" w:bidi="it-IT"/>
      </w:rPr>
    </w:lvl>
    <w:lvl w:ilvl="8" w:tplc="EF344E3A">
      <w:numFmt w:val="bullet"/>
      <w:lvlText w:val="•"/>
      <w:lvlJc w:val="left"/>
      <w:pPr>
        <w:ind w:left="7092" w:hanging="140"/>
      </w:pPr>
      <w:rPr>
        <w:rFonts w:hint="default"/>
        <w:lang w:val="it-IT" w:eastAsia="it-IT" w:bidi="it-I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22387E79"/>
    <w:rsid w:val="002C42E5"/>
    <w:rsid w:val="006F3BB5"/>
    <w:rsid w:val="0077763B"/>
    <w:rsid w:val="00854A81"/>
    <w:rsid w:val="008B52C6"/>
    <w:rsid w:val="00947452"/>
    <w:rsid w:val="009B7E48"/>
    <w:rsid w:val="009D680A"/>
    <w:rsid w:val="009E7020"/>
    <w:rsid w:val="00BA02F0"/>
    <w:rsid w:val="00F0164E"/>
    <w:rsid w:val="22387E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896553"/>
  <w15:docId w15:val="{BFCB60DE-C7B5-4E10-8213-2A2971CB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Garamond" w:eastAsia="Garamond" w:hAnsi="Garamond" w:cs="Garamond"/>
      <w:lang w:eastAsia="it-IT" w:bidi="it-IT"/>
    </w:rPr>
  </w:style>
  <w:style w:type="paragraph" w:styleId="Heading1">
    <w:name w:val="heading 1"/>
    <w:basedOn w:val="Normal"/>
    <w:uiPriority w:val="1"/>
    <w:qFormat/>
    <w:pPr>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B7E4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B7E48"/>
    <w:rPr>
      <w:rFonts w:ascii="Garamond" w:eastAsia="Garamond" w:hAnsi="Garamond" w:cs="Garamond"/>
      <w:sz w:val="18"/>
      <w:szCs w:val="18"/>
      <w:lang w:eastAsia="it-IT" w:bidi="it-IT"/>
    </w:rPr>
  </w:style>
  <w:style w:type="paragraph" w:styleId="Footer">
    <w:name w:val="footer"/>
    <w:basedOn w:val="Normal"/>
    <w:link w:val="FooterChar"/>
    <w:uiPriority w:val="99"/>
    <w:unhideWhenUsed/>
    <w:rsid w:val="009B7E4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B7E48"/>
    <w:rPr>
      <w:rFonts w:ascii="Garamond" w:eastAsia="Garamond" w:hAnsi="Garamond" w:cs="Garamond"/>
      <w:sz w:val="18"/>
      <w:szCs w:val="18"/>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F1396-C00F-4752-8F7A-910D170F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3345</Words>
  <Characters>19070</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ENLASO</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Lee</dc:creator>
  <cp:lastModifiedBy>Jennifer Parsons</cp:lastModifiedBy>
  <cp:revision>6</cp:revision>
  <dcterms:created xsi:type="dcterms:W3CDTF">2017-11-28T22:55:00Z</dcterms:created>
  <dcterms:modified xsi:type="dcterms:W3CDTF">2018-09-18T18:06:00Z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2017-05-03T00:00:00Z</vt:filetime>
  </property>
  <property fmtid="{D5CDD505-2E9C-101B-9397-08002B2CF9AE}" pid="3" name="Creator">
    <vt:lpwstr>Microsoft® Word 2010</vt:lpwstr>
  </property>
  <property fmtid="{D5CDD505-2E9C-101B-9397-08002B2CF9AE}" pid="4" name="LastSaved">
    <vt:filetime>2017-11-28T00:00:00Z</vt:filetime>
  </property>
</Properties>
</file>